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5.png" ContentType="image/png"/>
  <Override PartName="/word/media/rId21.png" ContentType="image/png"/>
  <Override PartName="/word/media/rId25.png" ContentType="image/png"/>
  <Override PartName="/word/media/rId29.png" ContentType="image/png"/>
  <Override PartName="/word/media/rId33.png" ContentType="image/png"/>
  <Override PartName="/word/media/rId37.png" ContentType="image/png"/>
  <Override PartName="/word/media/rId4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60" w:name="supplemental-materials"/>
    <w:p>
      <w:pPr>
        <w:pStyle w:val="Heading1"/>
      </w:pPr>
      <w:r>
        <w:t xml:space="preserve">Supplemental materials</w:t>
      </w:r>
    </w:p>
    <w:p>
      <w:pPr>
        <w:pStyle w:val="FirstParagraph"/>
      </w:pPr>
    </w:p>
    <w:p>
      <w:pPr>
        <w:pStyle w:val="CaptionedFigure"/>
      </w:pPr>
      <w:r>
        <w:drawing>
          <wp:inline>
            <wp:extent cx="5943600" cy="7429499"/>
            <wp:effectExtent b="0" l="0" r="0" t="0"/>
            <wp:docPr descr="Fig. 1: Growth curves, tracked as OD680 (a), OD720(b), or chlorophyll proxy OD680-OD720 (ΔOD) (c) vs. elapsed time (d). Growth curves were estimated over 5-min intervals for PC-rich (light green) and PE-rich (dark red) cultures of Synechococcus sp. grown at spectral bandwidths of 405, 450, 470, 530, 620, 660, or 730 nm and O2 concentrations of 250 µM or 2.5 µM. Logistic fits (thick lines) of ΔOD vs. elapsed time (d) measured over 5-min intervals were also presented." title="" id="22" name="Picture"/>
            <a:graphic>
              <a:graphicData uri="http://schemas.openxmlformats.org/drawingml/2006/picture">
                <pic:pic>
                  <pic:nvPicPr>
                    <pic:cNvPr descr="../Output/Figures/SFig_GrowthCurve.png" id="23" name="Picture"/>
                    <pic:cNvPicPr>
                      <a:picLocks noChangeArrowheads="1" noChangeAspect="1"/>
                    </pic:cNvPicPr>
                  </pic:nvPicPr>
                  <pic:blipFill>
                    <a:blip r:embed="rId2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4" w:name="fig:GrowthCurve"/>
      <w:bookmarkEnd w:id="24"/>
      <w:r>
        <w:rPr>
          <w:bCs/>
          <w:b/>
        </w:rPr>
        <w:t xml:space="preserve">Fig.</w:t>
      </w:r>
      <w:r>
        <w:rPr>
          <w:bCs/>
          <w:b/>
        </w:rPr>
        <w:t xml:space="preserve"> </w:t>
      </w:r>
      <w:r>
        <w:t xml:space="preserve">1: Growth curves, tracked as OD</w:t>
      </w:r>
      <w:r>
        <w:rPr>
          <w:vertAlign w:val="subscript"/>
        </w:rPr>
        <w:t xml:space="preserve">680</w:t>
      </w:r>
      <w:r>
        <w:t xml:space="preserve"> </w:t>
      </w:r>
      <w:r>
        <w:t xml:space="preserve">(</w:t>
      </w:r>
      <w:r>
        <w:rPr>
          <w:iCs/>
          <w:i/>
        </w:rPr>
        <w:t xml:space="preserve">a</w:t>
      </w:r>
      <w:r>
        <w:t xml:space="preserve">), OD</w:t>
      </w:r>
      <w:r>
        <w:rPr>
          <w:vertAlign w:val="subscript"/>
        </w:rPr>
        <w:t xml:space="preserve">720</w:t>
      </w:r>
      <w:r>
        <w:t xml:space="preserve">(</w:t>
      </w:r>
      <w:r>
        <w:rPr>
          <w:iCs/>
          <w:i/>
        </w:rPr>
        <w:t xml:space="preserve">b</w:t>
      </w:r>
      <w:r>
        <w:t xml:space="preserve">), or chlorophyll proxy OD</w:t>
      </w:r>
      <w:r>
        <w:rPr>
          <w:vertAlign w:val="subscript"/>
        </w:rPr>
        <w:t xml:space="preserve">680</w:t>
      </w:r>
      <w:r>
        <w:t xml:space="preserve">-OD</w:t>
      </w:r>
      <w:r>
        <w:rPr>
          <w:vertAlign w:val="subscript"/>
        </w:rPr>
        <w:t xml:space="preserve">720</w:t>
      </w:r>
      <w:r>
        <w:t xml:space="preserve"> </w:t>
      </w:r>
      <w:r>
        <w:t xml:space="preserve">(ΔOD) (</w:t>
      </w:r>
      <w:r>
        <w:rPr>
          <w:iCs/>
          <w:i/>
        </w:rPr>
        <w:t xml:space="preserve">c</w:t>
      </w:r>
      <w:r>
        <w:t xml:space="preserve">) vs. elapsed time (d). Growth curves were estimated over 5-min intervals for PC-rich (light green) and PE-rich (dark red)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or 2.5 µM. Logistic fits (thick lines) of ΔOD vs. elapsed time (d) measured over 5-min intervals were also presented.</w:t>
      </w:r>
    </w:p>
    <w:p>
      <w:pPr>
        <w:pStyle w:val="CaptionedFigure"/>
      </w:pPr>
      <w:r>
        <w:drawing>
          <wp:inline>
            <wp:extent cx="5504749" cy="5504749"/>
            <wp:effectExtent b="0" l="0" r="0" t="0"/>
            <wp:docPr descr="Fig. 2: Cell-specific exponential growth rates (µ; d−1) vs. growth waveband (nm, shaded regions). Growth rates (± SE) were estimated from logistic fits of OD720 vs. elapsed time, for PC-rich (green circle) and PE-rich (red circle) cultures of Synechococcus sp. grown at spectral bandwidths of 405, 450, 470, 530, 620, 660, or 730 nm, and O2 concentrations of 250 µM (open symbols and dashed line) or 2.5 µM (closed symbols and solid line)." title="" id="26" name="Picture"/>
            <a:graphic>
              <a:graphicData uri="http://schemas.openxmlformats.org/drawingml/2006/picture">
                <pic:pic>
                  <pic:nvPicPr>
                    <pic:cNvPr descr="../Output/Figures/SFig_GrowthRateOD720.png" id="27" name="Picture"/>
                    <pic:cNvPicPr>
                      <a:picLocks noChangeArrowheads="1" noChangeAspect="1"/>
                    </pic:cNvPicPr>
                  </pic:nvPicPr>
                  <pic:blipFill>
                    <a:blip r:embed="rId2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28" w:name="fig:GrowthRateOD720"/>
      <w:bookmarkEnd w:id="28"/>
      <w:r>
        <w:rPr>
          <w:bCs/>
          <w:b/>
        </w:rPr>
        <w:t xml:space="preserve">Fig.</w:t>
      </w:r>
      <w:r>
        <w:rPr>
          <w:bCs/>
          <w:b/>
        </w:rPr>
        <w:t xml:space="preserve"> </w:t>
      </w:r>
      <w:r>
        <w:t xml:space="preserve">2: Cell-specific exponential growth rates (µ; d</w:t>
      </w:r>
      <w:r>
        <w:rPr>
          <w:vertAlign w:val="superscript"/>
        </w:rPr>
        <w:t xml:space="preserve">−1</w:t>
      </w:r>
      <w:r>
        <w:t xml:space="preserve">) vs. growth waveband (nm, shaded regions). Growth rates (± SE) were estimated from logistic fits of OD</w:t>
      </w:r>
      <w:r>
        <w:rPr>
          <w:vertAlign w:val="subscript"/>
        </w:rPr>
        <w:t xml:space="preserve">720</w:t>
      </w:r>
      <w:r>
        <w:t xml:space="preserve"> </w:t>
      </w:r>
      <w:r>
        <w:t xml:space="preserve">vs. elapsed time,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w:t>
      </w:r>
    </w:p>
    <w:p>
      <w:pPr>
        <w:pStyle w:val="CaptionedFigure"/>
      </w:pPr>
      <w:r>
        <w:drawing>
          <wp:inline>
            <wp:extent cx="5504749" cy="4587290"/>
            <wp:effectExtent b="0" l="0" r="0" t="0"/>
            <wp:docPr descr="Fig. 3: Pigment ratio (µg:µg) vs. growth waveband (nm) for PC-rich (green circle) and PE-rich (red circle) cultures of Synechococcus sp. grown at spectral bandwidths of 405, 450, 470, 530, 620, 660, or 730 nm and O2 concentrations of 250 µM (open symbols and dashed line) or 2.5 µM (closed symbols and solid line). Data not presented for those PE-rich cultures which showed negligible growth under 405, 450, 730 nm and 250 µM O2; nor for those PC-rich cultures which showed negligible growth under 405 nm and 250 µM O2." title="" id="30" name="Picture"/>
            <a:graphic>
              <a:graphicData uri="http://schemas.openxmlformats.org/drawingml/2006/picture">
                <pic:pic>
                  <pic:nvPicPr>
                    <pic:cNvPr descr="../Output/Figures/SFig_PigmentRatio.png" id="31" name="Picture"/>
                    <pic:cNvPicPr>
                      <a:picLocks noChangeArrowheads="1" noChangeAspect="1"/>
                    </pic:cNvPicPr>
                  </pic:nvPicPr>
                  <pic:blipFill>
                    <a:blip r:embed="rId29"/>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bookmarkStart w:id="32" w:name="fig:GrowthPUR"/>
      <w:bookmarkEnd w:id="32"/>
      <w:r>
        <w:rPr>
          <w:bCs/>
          <w:b/>
        </w:rPr>
        <w:t xml:space="preserve">Fig.</w:t>
      </w:r>
      <w:r>
        <w:rPr>
          <w:bCs/>
          <w:b/>
        </w:rPr>
        <w:t xml:space="preserve"> </w:t>
      </w:r>
      <w:r>
        <w:t xml:space="preserve">3: Pigment ratio (µg:µg) vs. growth waveband (nm)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5504749"/>
            <wp:effectExtent b="0" l="0" r="0" t="0"/>
            <wp:docPr descr="Fig. 4: Effective absorption cross section of PSII (σPSII; nm2 quanta−1) vs. Actinic PAR (µmol photons m−2s−1). σPSII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34" name="Picture"/>
            <a:graphic>
              <a:graphicData uri="http://schemas.openxmlformats.org/drawingml/2006/picture">
                <pic:pic>
                  <pic:nvPicPr>
                    <pic:cNvPr descr="../Output/Figures/SFig_Sig.png" id="35" name="Picture"/>
                    <pic:cNvPicPr>
                      <a:picLocks noChangeArrowheads="1" noChangeAspect="1"/>
                    </pic:cNvPicPr>
                  </pic:nvPicPr>
                  <pic:blipFill>
                    <a:blip r:embed="rId3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6" w:name="fig:SigAll"/>
      <w:bookmarkEnd w:id="36"/>
      <w:r>
        <w:rPr>
          <w:bCs/>
          <w:b/>
        </w:rPr>
        <w:t xml:space="preserve">Fig.</w:t>
      </w:r>
      <w:r>
        <w:rPr>
          <w:bCs/>
          <w:b/>
        </w:rPr>
        <w:t xml:space="preserve"> </w:t>
      </w:r>
      <w:r>
        <w:t xml:space="preserve">4: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σ</w:t>
      </w:r>
      <w:r>
        <w:rPr>
          <w:vertAlign w:val="subscript"/>
        </w:rPr>
        <w:t xml:space="preserve">PSII</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5504749"/>
            <wp:effectExtent b="0" l="0" r="0" t="0"/>
            <wp:docPr descr="Fig. 5: Turnover time of PSII photochemistry (τPSII; µs) vs. Actinic PAR (µmol photons m−2s−1). τPSII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38" name="Picture"/>
            <a:graphic>
              <a:graphicData uri="http://schemas.openxmlformats.org/drawingml/2006/picture">
                <pic:pic>
                  <pic:nvPicPr>
                    <pic:cNvPr descr="../Output/Figures/SFig_Tau.png" id="39" name="Picture"/>
                    <pic:cNvPicPr>
                      <a:picLocks noChangeArrowheads="1" noChangeAspect="1"/>
                    </pic:cNvPicPr>
                  </pic:nvPicPr>
                  <pic:blipFill>
                    <a:blip r:embed="rId3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40" w:name="fig:TauAll"/>
      <w:bookmarkEnd w:id="40"/>
      <w:r>
        <w:rPr>
          <w:bCs/>
          <w:b/>
        </w:rPr>
        <w:t xml:space="preserve">Fig.</w:t>
      </w:r>
      <w:r>
        <w:rPr>
          <w:bCs/>
          <w:b/>
        </w:rPr>
        <w:t xml:space="preserve"> </w:t>
      </w:r>
      <w:r>
        <w:t xml:space="preserve">5: Turnover time of PSII photochemistry (τ</w:t>
      </w:r>
      <w:r>
        <w:rPr>
          <w:vertAlign w:val="subscript"/>
        </w:rPr>
        <w:t xml:space="preserve">PSII</w:t>
      </w:r>
      <w:r>
        <w:t xml:space="preserve">; µs) vs. Actinic PAR (µmol photons m</w:t>
      </w:r>
      <w:r>
        <w:rPr>
          <w:vertAlign w:val="superscript"/>
        </w:rPr>
        <w:t xml:space="preserve">−2</w:t>
      </w:r>
      <w:r>
        <w:t xml:space="preserve">s</w:t>
      </w:r>
      <w:r>
        <w:rPr>
          <w:vertAlign w:val="superscript"/>
        </w:rPr>
        <w:t xml:space="preserve">−1</w:t>
      </w:r>
      <w:r>
        <w:t xml:space="preserve">). τ</w:t>
      </w:r>
      <w:r>
        <w:rPr>
          <w:vertAlign w:val="subscript"/>
        </w:rPr>
        <w:t xml:space="preserve">PSII</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5504749"/>
            <wp:effectExtent b="0" l="0" r="0" t="0"/>
            <wp:docPr descr="Fig. 6: Photochemical quenching coefficient (qP) vs. Actinic PAR (µmol photons m−2s−1). qP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2" name="Picture"/>
            <a:graphic>
              <a:graphicData uri="http://schemas.openxmlformats.org/drawingml/2006/picture">
                <pic:pic>
                  <pic:nvPicPr>
                    <pic:cNvPr descr="../Output/Figures/SFig_qpOxbo.png" id="43" name="Picture"/>
                    <pic:cNvPicPr>
                      <a:picLocks noChangeArrowheads="1" noChangeAspect="1"/>
                    </pic:cNvPicPr>
                  </pic:nvPicPr>
                  <pic:blipFill>
                    <a:blip r:embed="rId4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44" w:name="fig:qpAll"/>
      <w:bookmarkEnd w:id="44"/>
      <w:r>
        <w:rPr>
          <w:bCs/>
          <w:b/>
        </w:rPr>
        <w:t xml:space="preserve">Fig.</w:t>
      </w:r>
      <w:r>
        <w:rPr>
          <w:bCs/>
          <w:b/>
        </w:rPr>
        <w:t xml:space="preserve"> </w:t>
      </w:r>
      <w:r>
        <w:t xml:space="preserve">6: Photochemical quenching coefficient (q</w:t>
      </w:r>
      <w:r>
        <w:rPr>
          <w:vertAlign w:val="subscript"/>
        </w:rPr>
        <w:t xml:space="preserve">P</w:t>
      </w:r>
      <w:r>
        <w:t xml:space="preserve">) vs. Actinic PAR (µmol photons m</w:t>
      </w:r>
      <w:r>
        <w:rPr>
          <w:vertAlign w:val="superscript"/>
        </w:rPr>
        <w:t xml:space="preserve">−2</w:t>
      </w:r>
      <w:r>
        <w:t xml:space="preserve">s</w:t>
      </w:r>
      <w:r>
        <w:rPr>
          <w:vertAlign w:val="superscript"/>
        </w:rPr>
        <w:t xml:space="preserve">−1</w:t>
      </w:r>
      <w:r>
        <w:t xml:space="preserve">). q</w:t>
      </w:r>
      <w:r>
        <w:rPr>
          <w:vertAlign w:val="subscript"/>
        </w:rPr>
        <w:t xml:space="preserve">P</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5504749"/>
            <wp:effectExtent b="0" l="0" r="0" t="0"/>
            <wp:docPr descr="Fig. 7: PSII electron flux (JVPSII; µmol e− L−1 s−1) vs. Actinic PAR (µmol photons m−2s−1). σPSII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6" name="Picture"/>
            <a:graphic>
              <a:graphicData uri="http://schemas.openxmlformats.org/drawingml/2006/picture">
                <pic:pic>
                  <pic:nvPicPr>
                    <pic:cNvPr descr="../Output/Figures/SFig_CalibJVPSII_eLs.png" id="47" name="Picture"/>
                    <pic:cNvPicPr>
                      <a:picLocks noChangeArrowheads="1" noChangeAspect="1"/>
                    </pic:cNvPicPr>
                  </pic:nvPicPr>
                  <pic:blipFill>
                    <a:blip r:embed="rId4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48" w:name="fig:JvpsiiAll"/>
      <w:bookmarkEnd w:id="48"/>
      <w:r>
        <w:rPr>
          <w:bCs/>
          <w:b/>
        </w:rPr>
        <w:t xml:space="preserve">Fig.</w:t>
      </w:r>
      <w:r>
        <w:rPr>
          <w:bCs/>
          <w:b/>
        </w:rPr>
        <w:t xml:space="preserve"> </w:t>
      </w:r>
      <w:r>
        <w:t xml:space="preserve">7: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σ</w:t>
      </w:r>
      <w:r>
        <w:rPr>
          <w:vertAlign w:val="subscript"/>
        </w:rPr>
        <w:t xml:space="preserve">PSII</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p>
      <w:pPr>
        <w:pStyle w:val="BodyText"/>
      </w:pPr>
      <w:r>
        <w:t xml:space="preserve"> </w:t>
      </w:r>
      <w:r>
        <w:t xml:space="preserve"> </w:t>
      </w:r>
    </w:p>
    <w:p>
      <w:pPr>
        <w:pStyle w:val="TableCaption"/>
      </w:pPr>
      <w:bookmarkStart w:id="49" w:name="tab:unnamed-chunk-1"/>
      <w:bookmarkEnd w:id="49"/>
      <w:r>
        <w:t xml:space="preserve">Tab.1:</w:t>
      </w:r>
      <w:r>
        <w:t xml:space="preserve"> </w:t>
      </w:r>
      <w:r>
        <w:t xml:space="preserve">Linear regression, coefficient of determination (R square), Pearson correlation coefficients (R), and p-value used to calculate the number of cells (mL-1) of PC-rich and PE-rich cultures of *Synechococcus* sp. based on OD~680~ and OD~720~ (nm)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858"/>
        <w:gridCol w:w="1077"/>
        <w:gridCol w:w="77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(OD680*180449619)+4614995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(OD680*237967540)+9721218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(OD720*235186505)+6189673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(OD720*306469787)+9429269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0" w:name="tab:unnamed-chunk-2"/>
      <w:bookmarkEnd w:id="50"/>
      <w:r>
        <w:t xml:space="preserve">Tab.2:</w:t>
      </w:r>
      <w:r>
        <w:t xml:space="preserve"> </w:t>
      </w:r>
      <w:r>
        <w:t xml:space="preserve">Linear regression, coefficient of determination (R square), Pearson correlation coefficients (R), and p-value used to calculate the pigment content (µg mL-1) of PC-rich and PE-rich cultures of *Synechococcus* sp. based on absorbance (A)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51" w:name="tab:unnamed-chunk-3"/>
      <w:bookmarkEnd w:id="51"/>
      <w:r>
        <w:t xml:space="preserve">Tab.3:</w:t>
      </w:r>
      <w:r>
        <w:t xml:space="preserve"> </w:t>
      </w:r>
      <w:r>
        <w:t xml:space="preserve">Calibration slope for the blue LED (Ex~445nm~), blue-green LED (Ex~470nm~),  green LED (Ex~530nm~), orangr LED (Ex~590nm~) excitations.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84"/>
        <w:gridCol w:w="4157"/>
        <w:gridCol w:w="1523"/>
        <w:gridCol w:w="1478"/>
        <w:gridCol w:w="1318"/>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Slope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Slope_SE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Slope_P</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108,832.416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7,242.289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98,039.255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7,704.088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110,082.181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6,127.011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254,327.562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10,495.613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52" w:name="tab:unnamed-chunk-4"/>
      <w:bookmarkEnd w:id="52"/>
      <w:r>
        <w:t xml:space="preserve">Tab.4:</w:t>
      </w:r>
      <w:r>
        <w:t xml:space="preserve"> </w:t>
      </w:r>
      <w:r>
        <w:t xml:space="preserve">Three-way factorial ANOVA testing whether strain, growth waveband, O~2~ concentration, and their interactions (Source_of_variation), significantly influence the chlorophyll specific exponential growth rate (µ; d−1),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45"/>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5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8.578e+30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1.625e+28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O2:WL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8.959e+28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7.694e+30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WL:Strain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O2:WL:Strain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6.741e+29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BodyText"/>
      </w:pPr>
    </w:p>
    <w:p>
      <w:pPr>
        <w:pStyle w:val="TableCaption"/>
      </w:pPr>
      <w:bookmarkStart w:id="53" w:name="tab:unnamed-chunk-5"/>
      <w:bookmarkEnd w:id="53"/>
      <w:r>
        <w:t xml:space="preserve">Tab.5:</w:t>
      </w:r>
      <w:r>
        <w:t xml:space="preserve"> </w:t>
      </w:r>
      <w:r>
        <w:t xml:space="preserve">Three-way factorial ANOVA testing whether strain, growth waveband, O~2~ concentration, and their interactions (Source_of_variation), significantly influence the pigment content,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6"/>
        <w:gridCol w:w="1264"/>
        <w:gridCol w:w="1371"/>
        <w:gridCol w:w="1362"/>
        <w:gridCol w:w="1251"/>
        <w:gridCol w:w="141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Pigments</w:t>
            </w:r>
          </w:p>
        </w:tc>
      </w:tr>
      <w:tr>
        <w:trPr>
          <w:trHeight w:val="55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1.140e+02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4.885e+02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2.144e+03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4.327e+01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1.837e+01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1.807e+02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4.660e+02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5.474e+01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2.991e+02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9.402e+01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4.294e+00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5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2.767e+02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2.642e+02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5.298e+01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8.490e+01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4.544e+01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bl>
    <w:p>
      <w:pPr>
        <w:pStyle w:val="BodyText"/>
      </w:pPr>
    </w:p>
    <w:p>
      <w:pPr>
        <w:pStyle w:val="TableCaption"/>
      </w:pPr>
      <w:bookmarkStart w:id="54" w:name="tab:unnamed-chunk-6"/>
      <w:bookmarkEnd w:id="54"/>
      <w:r>
        <w:t xml:space="preserve">Tab.6:</w:t>
      </w:r>
      <w:r>
        <w:t xml:space="preserve"> </w:t>
      </w:r>
      <w:r>
        <w:t xml:space="preserve">Three-way factorial ANOVA testing whether strain, Actinic PAR, O~2~ concentration, and their interactions (Source_of_variation), significantly influence the Sig,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264"/>
        <w:gridCol w:w="1371"/>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5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3.391e+00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4.105e+00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9.232e+01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7.042e+02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5.788e+03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5.092e+00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7.250e+03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3.510e+00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1.721e+01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1.806e+03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4.609e+00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109.841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109.841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8.096e+00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9"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73.371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55" w:name="tab:unnamed-chunk-7"/>
      <w:bookmarkEnd w:id="55"/>
      <w:r>
        <w:t xml:space="preserve">Tab.7:</w:t>
      </w:r>
      <w:r>
        <w:t xml:space="preserve"> </w:t>
      </w:r>
      <w:r>
        <w:t xml:space="preserve">Three-way factorial ANOVA testing whether strain, Actinic PAR, O~2~ concentration, and their interactions (Source_of_variation), significantly influence the Tau,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801"/>
        <w:gridCol w:w="1690"/>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8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3,496,028.622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3,496,028.622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2.678e+01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14,133,346.577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2,826,669.315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2.166e+01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253,264.052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253,264.052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517,864.318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103,572.864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7.935e-01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265,256.514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53,051.303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30,544,408.553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130,531.660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914,186.431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914,186.431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2,343,720.562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468,744.112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8.379e+00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3,470,763.124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3,470,763.124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132,988.463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26,597.693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4.754e-01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81,876.328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81,876.328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1,574,364.783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314,872.957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5.628e+00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140,936.185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28,187.237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5.038e-01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6,881,213.032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55,944.821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1,029,225.897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1,029,225.897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851,277.005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170,255.401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435,345.883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435,345.883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120,575.961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24,115.192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7.518e-01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219,676.028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219,676.028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6.848e+00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229,576.808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45,915.362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64,482.291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12,896.458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3,271,820.858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32,076.675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3,424,919.953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3,424,919.953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5,947,878.984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1,189,575.797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1,011,575.664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1,011,575.664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1,306,328.507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261,265.701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371,948.064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371,948.064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2,392,592.792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478,518.558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329,109.359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65,821.872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2.580e+00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5,280,710.709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25,510.680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56" w:name="tab:unnamed-chunk-8"/>
      <w:bookmarkEnd w:id="56"/>
      <w:r>
        <w:t xml:space="preserve">Tab.8:</w:t>
      </w:r>
      <w:r>
        <w:t xml:space="preserve"> </w:t>
      </w:r>
      <w:r>
        <w:t xml:space="preserve">Three-way factorial ANOVA testing whether strain, Actinic PAR, O~2~ concentration, and their interactions (Source_of_variation), significantly influence the qP,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264"/>
        <w:gridCol w:w="1371"/>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5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4.317e+01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5.126e+00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7.953e+01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4.960e+01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2.392e-01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9.411e+00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2.781e+00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8.911e+01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5.519e-01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7.702e+02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4.874e+02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2.309e+00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1.504e+00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9"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57" w:name="tab:unnamed-chunk-9"/>
      <w:bookmarkEnd w:id="57"/>
      <w:r>
        <w:t xml:space="preserve">Tab.9:</w:t>
      </w:r>
      <w:r>
        <w:t xml:space="preserve"> </w:t>
      </w:r>
      <w:r>
        <w:t xml:space="preserve">Three-way factorial ANOVA testing whether strain, Actinic PAR, O~2~ concentration, and their interactions (Source_of_variation), significantly influence the JVPSII_eLs,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264"/>
        <w:gridCol w:w="1371"/>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5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1.547e+01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4.906e+01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8.647e+00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4.681e+04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5.827e+04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1.524e+04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2.224e+04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1.495e+04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6.729e+03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6.747e+03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4.036e+03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5.693e+02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6.787e+01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2.374e+02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4.587e+01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3.770e+02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5.172e+01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5.329e+01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9"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58" w:name="tab:unnamed-chunk-10"/>
      <w:bookmarkEnd w:id="58"/>
      <w:r>
        <w:t xml:space="preserve">Tab.10:</w:t>
      </w:r>
      <w:r>
        <w:t xml:space="preserve"> </w:t>
      </w:r>
      <w:r>
        <w:t xml:space="preserve">T-test of linear fit model (Fit_model) across different strains and O~2~ concentration for a given growth waveband, for chlorophyll-specific exponential growth rate vs. Phycobiliproteins to Chl *a* ratio for PC-rich and PE-rich cultures of *Synechococcus* sp. grown at spectral bandwidths of 405, 450, 470, 530, 620, 660, or 730 nm, and O~2~ concentrations of 250 µM or 2.5 µM.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1378"/>
        <w:gridCol w:w="1371"/>
        <w:gridCol w:w="1185"/>
        <w:gridCol w:w="1251"/>
      </w:tblGrid>
      <w:tr>
        <w:trPr>
          <w:trHeight w:val="63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-3.079e-04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2.416e-04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0.203</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-1.492e-03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8.630e-05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0_PC-rich:PE-rich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9.005e-03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4.230e-03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r>
      <w:tr>
        <w:trPr>
          <w:trHeight w:val="59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21_PC-rich:PE-rich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-1.586e-02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2.609e-03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59" w:name="tab:unnamed-chunk-11"/>
      <w:bookmarkEnd w:id="59"/>
      <w:r>
        <w:t xml:space="preserve">Tab.11:</w:t>
      </w:r>
      <w:r>
        <w:t xml:space="preserve"> </w:t>
      </w:r>
      <w:r>
        <w:t xml:space="preserve">T-test of linear fit model (Fit_model) across different strains and O~2~ concentration in situations in which cultures were excited by, and growing in, corresponding growth wavebands of 450, 470, 530, or 620 nm, for chlorophyll-specific exponential growth rate vs. *JV*~PSII~.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1344"/>
        <w:gridCol w:w="1378"/>
        <w:gridCol w:w="1185"/>
        <w:gridCol w:w="1251"/>
      </w:tblGrid>
      <w:tr>
        <w:trPr>
          <w:trHeight w:val="63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2.717e-05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1.311e-06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8.408e-05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-3.048e-06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0_PC-rich:PE-rich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4.928e-06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8.750e-02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1.443</w:t>
            </w:r>
          </w:p>
        </w:tc>
      </w:tr>
      <w:tr>
        <w:trPr>
          <w:trHeight w:val="59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21_PC-rich:PE-rich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5.470e-05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3.888e-03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0.228</w:t>
            </w:r>
          </w:p>
        </w:tc>
      </w:tr>
    </w:tbl>
    <w:p>
      <w:pPr>
        <w:pStyle w:val="BodyText"/>
      </w:pPr>
    </w:p>
    <w:bookmarkEnd w:id="60"/>
    <w:bookmarkStart w:id="61" w:name="references"/>
    <w:p>
      <w:pPr>
        <w:pStyle w:val="Heading1"/>
      </w:pPr>
      <w:r>
        <w:t xml:space="preserve">References</w:t>
      </w:r>
    </w:p>
    <w:bookmarkEnd w:id="61"/>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FF5F06"/>
    <w:pPr>
      <w:keepNext/>
      <w:keepLines/>
      <w:spacing w:after="0" w:line="480" w:lineRule="auto"/>
      <w:jc w:val="both"/>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FF5F06"/>
    <w:pPr>
      <w:keepNext/>
      <w:keepLines/>
      <w:spacing w:after="0" w:line="480" w:lineRule="auto"/>
      <w:jc w:val="both"/>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5" Target="media/rId45.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and Douglas A. Campbell1,✉</dc:creator>
  <cp:keywords/>
  <dcterms:created xsi:type="dcterms:W3CDTF">2024-07-02T13:31:27Z</dcterms:created>
  <dcterms:modified xsi:type="dcterms:W3CDTF">2024-07-02T13:31:27Z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